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0768" w14:textId="048F3122" w:rsidR="00AA1B79" w:rsidRPr="00EF6BF7" w:rsidRDefault="00AA1B79" w:rsidP="00AA1B79">
      <w:pPr>
        <w:jc w:val="right"/>
        <w:rPr>
          <w:sz w:val="20"/>
          <w:szCs w:val="20"/>
        </w:rPr>
      </w:pPr>
      <w:r w:rsidRPr="00EF6BF7">
        <w:rPr>
          <w:sz w:val="20"/>
          <w:szCs w:val="20"/>
        </w:rPr>
        <w:t>Sopot, dnia 5 stycznia 2020r</w:t>
      </w:r>
    </w:p>
    <w:p w14:paraId="44E0219F" w14:textId="77777777" w:rsidR="00AA1B79" w:rsidRPr="00EF6BF7" w:rsidRDefault="00AA1B79" w:rsidP="00AA1B79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EF6BF7">
        <w:rPr>
          <w:rFonts w:ascii="Calibri" w:hAnsi="Calibri" w:cs="Calibri"/>
          <w:b/>
          <w:sz w:val="20"/>
          <w:szCs w:val="20"/>
        </w:rPr>
        <w:t>Zamawiający:</w:t>
      </w:r>
    </w:p>
    <w:p w14:paraId="6576A2A8" w14:textId="77777777" w:rsidR="00AA1B79" w:rsidRPr="00EF6BF7" w:rsidRDefault="00AA1B79" w:rsidP="00AA1B79">
      <w:pPr>
        <w:jc w:val="center"/>
        <w:rPr>
          <w:rFonts w:ascii="Calibri" w:hAnsi="Calibri" w:cs="Calibri"/>
          <w:b/>
          <w:sz w:val="20"/>
          <w:szCs w:val="20"/>
        </w:rPr>
      </w:pPr>
      <w:r w:rsidRPr="00EF6BF7">
        <w:rPr>
          <w:rFonts w:ascii="Calibri" w:hAnsi="Calibri" w:cs="Calibri"/>
          <w:b/>
          <w:sz w:val="20"/>
          <w:szCs w:val="20"/>
        </w:rPr>
        <w:t>BAŁTYCKA AGENCJA ARTYSTYCZNA BART</w:t>
      </w:r>
      <w:r w:rsidRPr="00EF6BF7">
        <w:rPr>
          <w:rFonts w:ascii="Calibri" w:hAnsi="Calibri" w:cs="Calibri"/>
          <w:b/>
          <w:sz w:val="20"/>
          <w:szCs w:val="20"/>
        </w:rPr>
        <w:br/>
        <w:t>z siedzibą w Sopot 81-829 przy ul. Stanisława Moniuszki 12</w:t>
      </w:r>
    </w:p>
    <w:p w14:paraId="134AF554" w14:textId="77777777" w:rsidR="00AA1B79" w:rsidRPr="00EF6BF7" w:rsidRDefault="00DF7C4E" w:rsidP="00AA1B79">
      <w:pPr>
        <w:jc w:val="center"/>
        <w:rPr>
          <w:rFonts w:ascii="Calibri" w:hAnsi="Calibri" w:cs="Calibri"/>
          <w:b/>
          <w:sz w:val="20"/>
          <w:szCs w:val="20"/>
        </w:rPr>
      </w:pPr>
      <w:hyperlink r:id="rId7" w:history="1">
        <w:r w:rsidR="00AA1B79" w:rsidRPr="00EF6BF7">
          <w:rPr>
            <w:rStyle w:val="Hipercze"/>
            <w:rFonts w:ascii="Calibri" w:hAnsi="Calibri" w:cs="Calibri"/>
            <w:b/>
            <w:sz w:val="20"/>
            <w:szCs w:val="20"/>
          </w:rPr>
          <w:t>www.bart.sopot.pl</w:t>
        </w:r>
      </w:hyperlink>
    </w:p>
    <w:p w14:paraId="44A708DE" w14:textId="77777777" w:rsidR="00EF6BF7" w:rsidRDefault="00EF6BF7" w:rsidP="00EF6BF7">
      <w:pPr>
        <w:jc w:val="center"/>
        <w:rPr>
          <w:b/>
          <w:bCs/>
        </w:rPr>
      </w:pPr>
    </w:p>
    <w:p w14:paraId="0858D750" w14:textId="513DA31A" w:rsidR="00AA1B79" w:rsidRPr="00EF6BF7" w:rsidRDefault="00EF6BF7" w:rsidP="00EF6BF7">
      <w:pPr>
        <w:jc w:val="center"/>
        <w:rPr>
          <w:b/>
          <w:bCs/>
        </w:rPr>
      </w:pPr>
      <w:r w:rsidRPr="00EF6BF7">
        <w:rPr>
          <w:b/>
          <w:bCs/>
        </w:rPr>
        <w:t>MODYFIKACJA OGŁOSZENIA O ZAMÓWIENIU</w:t>
      </w:r>
    </w:p>
    <w:p w14:paraId="7DA58072" w14:textId="77777777" w:rsidR="00EF6BF7" w:rsidRDefault="00EF6BF7" w:rsidP="00AA1B79">
      <w:pPr>
        <w:tabs>
          <w:tab w:val="left" w:pos="0"/>
        </w:tabs>
        <w:spacing w:before="120" w:after="120"/>
        <w:rPr>
          <w:i/>
          <w:iCs/>
          <w:sz w:val="16"/>
          <w:szCs w:val="16"/>
        </w:rPr>
      </w:pPr>
    </w:p>
    <w:p w14:paraId="2C5484E9" w14:textId="59611D14" w:rsidR="00AA1B79" w:rsidRPr="00AA1B79" w:rsidRDefault="00AA1B79" w:rsidP="00AA1B79">
      <w:pPr>
        <w:tabs>
          <w:tab w:val="left" w:pos="0"/>
        </w:tabs>
        <w:spacing w:before="120" w:after="120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EF6BF7">
        <w:rPr>
          <w:i/>
          <w:iCs/>
          <w:sz w:val="16"/>
          <w:szCs w:val="16"/>
        </w:rPr>
        <w:t xml:space="preserve">Dot. </w:t>
      </w:r>
      <w:r w:rsidRPr="00EF6BF7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 xml:space="preserve">OGŁOSZENIA O ZAMÓWIENIU NA ŚWIADCZENIE USŁUG SPOŁECZNYCH NA: </w:t>
      </w:r>
      <w:r w:rsidRPr="00AA1B79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>„USŁUGI OCHRONY”</w:t>
      </w:r>
    </w:p>
    <w:p w14:paraId="417BA3CE" w14:textId="77777777" w:rsidR="00AA1B79" w:rsidRPr="00AA1B79" w:rsidRDefault="00AA1B79" w:rsidP="00AA1B79">
      <w:pP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EB4F49" w14:textId="08C1D69B" w:rsidR="00AA1B79" w:rsidRDefault="00AA1B79" w:rsidP="00AA1B79">
      <w:pPr>
        <w:jc w:val="both"/>
      </w:pPr>
      <w:r>
        <w:t>Na podstawie art. 38 ust 4 ustawy z dnia 29 stycznia 2004 roku Prawo zamówień publicznych ( tekst jednolity  DZ.U</w:t>
      </w:r>
      <w:r w:rsidR="00EF6BF7">
        <w:t>.</w:t>
      </w:r>
      <w:r>
        <w:t xml:space="preserve"> 2019 poz. 1843 ze zm.) Zamawiający w ogłoszeniu o zamówieniu  wprowadza zmiany w następującym zakresie :</w:t>
      </w:r>
    </w:p>
    <w:p w14:paraId="25DD59CA" w14:textId="2978F487" w:rsidR="00AA1B79" w:rsidRPr="00AA1B79" w:rsidRDefault="00542317" w:rsidP="00542317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42317">
        <w:t xml:space="preserve">Po zmianie pkt </w:t>
      </w:r>
      <w:r w:rsidR="00AA1B79" w:rsidRPr="00AA1B79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XII.</w:t>
      </w:r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 xml:space="preserve"> </w:t>
      </w:r>
      <w:proofErr w:type="spellStart"/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ppkt</w:t>
      </w:r>
      <w:proofErr w:type="spellEnd"/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 xml:space="preserve"> 1 </w:t>
      </w:r>
      <w:r w:rsidR="00AA1B79" w:rsidRPr="00AA1B79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 </w:t>
      </w: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 xml:space="preserve">brzmi następująco: </w:t>
      </w:r>
    </w:p>
    <w:p w14:paraId="551906F7" w14:textId="77777777" w:rsidR="00AA1B79" w:rsidRPr="00EF6BF7" w:rsidRDefault="00AA1B79" w:rsidP="00EF6BF7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74" w:after="0" w:line="240" w:lineRule="auto"/>
        <w:ind w:left="142" w:right="-20"/>
        <w:rPr>
          <w:rFonts w:ascii="Calibri" w:eastAsia="Times New Roman" w:hAnsi="Calibri" w:cs="Calibri"/>
          <w:sz w:val="20"/>
          <w:szCs w:val="20"/>
          <w:lang w:eastAsia="pl-PL"/>
        </w:rPr>
      </w:pPr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XII. Z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A</w:t>
      </w:r>
      <w:r w:rsidRPr="00EF6BF7">
        <w:rPr>
          <w:rFonts w:ascii="Calibri" w:eastAsia="Times New Roman" w:hAnsi="Calibri" w:cs="Calibri"/>
          <w:spacing w:val="2"/>
          <w:sz w:val="20"/>
          <w:szCs w:val="20"/>
          <w:lang w:eastAsia="pl-PL"/>
        </w:rPr>
        <w:t>BE</w:t>
      </w:r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Z</w:t>
      </w:r>
      <w:r w:rsidRPr="00EF6BF7">
        <w:rPr>
          <w:rFonts w:ascii="Calibri" w:eastAsia="Times New Roman" w:hAnsi="Calibri" w:cs="Calibri"/>
          <w:spacing w:val="2"/>
          <w:sz w:val="20"/>
          <w:szCs w:val="20"/>
          <w:lang w:eastAsia="pl-PL"/>
        </w:rPr>
        <w:t>P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I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EC</w:t>
      </w:r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Z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EN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I</w:t>
      </w: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 N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A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LE</w:t>
      </w:r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Ż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Y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TEG</w:t>
      </w: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>OW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Y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K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O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N</w:t>
      </w:r>
      <w:r w:rsidRPr="00EF6BF7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>A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N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I</w:t>
      </w: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Pr="00EF6BF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 U</w:t>
      </w: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>M</w:t>
      </w:r>
      <w:r w:rsidRPr="00EF6BF7">
        <w:rPr>
          <w:rFonts w:ascii="Calibri" w:eastAsia="Times New Roman" w:hAnsi="Calibri" w:cs="Calibri"/>
          <w:spacing w:val="1"/>
          <w:sz w:val="20"/>
          <w:szCs w:val="20"/>
          <w:lang w:eastAsia="pl-PL"/>
        </w:rPr>
        <w:t>O</w:t>
      </w:r>
      <w:r w:rsidRPr="00EF6BF7">
        <w:rPr>
          <w:rFonts w:ascii="Calibri" w:eastAsia="Times New Roman" w:hAnsi="Calibri" w:cs="Calibri"/>
          <w:spacing w:val="-2"/>
          <w:sz w:val="20"/>
          <w:szCs w:val="20"/>
          <w:lang w:eastAsia="pl-PL"/>
        </w:rPr>
        <w:t>W</w:t>
      </w: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>Y</w:t>
      </w:r>
    </w:p>
    <w:p w14:paraId="352B2E35" w14:textId="74F78B36" w:rsidR="00AA1B79" w:rsidRPr="00AA1B79" w:rsidRDefault="00AA1B79" w:rsidP="00AA1B7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F6BF7">
        <w:rPr>
          <w:rFonts w:ascii="Calibri" w:eastAsia="Times New Roman" w:hAnsi="Calibri" w:cs="Calibri"/>
          <w:sz w:val="20"/>
          <w:szCs w:val="20"/>
          <w:lang w:eastAsia="pl-PL"/>
        </w:rPr>
        <w:t>Wykonawca przed podpisaniem umowy zobowiązany jest do wniesienia zabezpieczenia należytego</w:t>
      </w:r>
      <w:r w:rsidRPr="00AA1B79">
        <w:rPr>
          <w:rFonts w:ascii="Calibri" w:eastAsia="Times New Roman" w:hAnsi="Calibri" w:cs="Calibri"/>
          <w:sz w:val="20"/>
          <w:szCs w:val="20"/>
          <w:lang w:eastAsia="pl-PL"/>
        </w:rPr>
        <w:t xml:space="preserve"> wykonania umowy na sumę stanowiącą </w:t>
      </w:r>
      <w:r w:rsidRPr="00EF6BF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5</w:t>
      </w:r>
      <w:r w:rsidRPr="00EF6BF7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%</w:t>
      </w:r>
      <w:r w:rsidRPr="00AA1B79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</w:t>
      </w:r>
      <w:r w:rsidRPr="00AA1B79">
        <w:rPr>
          <w:rFonts w:ascii="Calibri" w:eastAsia="Times New Roman" w:hAnsi="Calibri" w:cs="Calibri"/>
          <w:sz w:val="20"/>
          <w:szCs w:val="20"/>
          <w:lang w:eastAsia="pl-PL"/>
        </w:rPr>
        <w:t xml:space="preserve">zaoferowanej ceny brutto. </w:t>
      </w:r>
      <w:r w:rsidRPr="00AA1B79">
        <w:rPr>
          <w:rFonts w:ascii="Calibri" w:hAnsi="Calibri" w:cs="Calibri"/>
          <w:sz w:val="20"/>
          <w:szCs w:val="20"/>
        </w:rPr>
        <w:t>Zabezpieczenie może być wniesione w:</w:t>
      </w:r>
    </w:p>
    <w:p w14:paraId="54987ED8" w14:textId="77777777" w:rsidR="00AA1B79" w:rsidRPr="007152FD" w:rsidRDefault="00AA1B79" w:rsidP="00AA1B79">
      <w:pPr>
        <w:widowControl w:val="0"/>
        <w:numPr>
          <w:ilvl w:val="0"/>
          <w:numId w:val="5"/>
        </w:numPr>
        <w:tabs>
          <w:tab w:val="left" w:pos="284"/>
          <w:tab w:val="left" w:pos="71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152FD">
        <w:rPr>
          <w:rFonts w:ascii="Calibri" w:hAnsi="Calibri" w:cs="Calibri"/>
          <w:sz w:val="20"/>
          <w:szCs w:val="20"/>
        </w:rPr>
        <w:t xml:space="preserve">pieniądzu, </w:t>
      </w:r>
    </w:p>
    <w:p w14:paraId="79470B44" w14:textId="77777777" w:rsidR="00AA1B79" w:rsidRPr="007152FD" w:rsidRDefault="00AA1B79" w:rsidP="00AA1B79">
      <w:pPr>
        <w:widowControl w:val="0"/>
        <w:numPr>
          <w:ilvl w:val="0"/>
          <w:numId w:val="5"/>
        </w:numPr>
        <w:tabs>
          <w:tab w:val="left" w:pos="568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152FD">
        <w:rPr>
          <w:rFonts w:ascii="Calibri" w:hAnsi="Calibri" w:cs="Calibri"/>
          <w:color w:val="000000"/>
          <w:sz w:val="20"/>
          <w:szCs w:val="20"/>
        </w:rPr>
        <w:t xml:space="preserve"> poręczeniach bankowych lub poręczeniach SKOK, z tym że zobowiązanie kasy jest zawsze zobowiązaniem pieniężnym,</w:t>
      </w:r>
    </w:p>
    <w:p w14:paraId="35883800" w14:textId="77777777" w:rsidR="00AA1B79" w:rsidRPr="007152FD" w:rsidRDefault="00AA1B79" w:rsidP="00AA1B79">
      <w:pPr>
        <w:widowControl w:val="0"/>
        <w:numPr>
          <w:ilvl w:val="0"/>
          <w:numId w:val="5"/>
        </w:numPr>
        <w:tabs>
          <w:tab w:val="left" w:pos="568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152FD">
        <w:rPr>
          <w:rFonts w:ascii="Calibri" w:hAnsi="Calibri" w:cs="Calibri"/>
          <w:color w:val="000000"/>
          <w:sz w:val="20"/>
          <w:szCs w:val="20"/>
        </w:rPr>
        <w:t xml:space="preserve"> gwarancjach ubezpieczeniowych,</w:t>
      </w:r>
    </w:p>
    <w:p w14:paraId="45D91B10" w14:textId="77777777" w:rsidR="00AA1B79" w:rsidRPr="007152FD" w:rsidRDefault="00AA1B79" w:rsidP="00AA1B7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152FD">
        <w:rPr>
          <w:rFonts w:ascii="Calibri" w:hAnsi="Calibri" w:cs="Calibri"/>
          <w:color w:val="000000"/>
          <w:sz w:val="20"/>
          <w:szCs w:val="20"/>
        </w:rPr>
        <w:t xml:space="preserve"> gwarancjach bankowych,</w:t>
      </w:r>
    </w:p>
    <w:p w14:paraId="34EFFE18" w14:textId="77777777" w:rsidR="00AA1B79" w:rsidRPr="007152FD" w:rsidRDefault="00AA1B79" w:rsidP="00AA1B79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7152FD">
        <w:rPr>
          <w:rFonts w:ascii="Calibri" w:hAnsi="Calibri" w:cs="Calibri"/>
          <w:color w:val="000000"/>
          <w:sz w:val="20"/>
          <w:szCs w:val="20"/>
        </w:rPr>
        <w:t xml:space="preserve"> poręczeniach udzielanych przez podmioty, o których mowa w art. 6b ust. 5 pkt 2 ustawy z dnia 9 listopada 2000 r. o utworzeniu Polskiej Agencji Rozwoju Przedsiębiorczości (</w:t>
      </w:r>
      <w:r w:rsidRPr="007152FD">
        <w:rPr>
          <w:rFonts w:ascii="Calibri" w:hAnsi="Calibri" w:cs="Calibri"/>
          <w:sz w:val="20"/>
          <w:szCs w:val="20"/>
        </w:rPr>
        <w:t xml:space="preserve">t. j. Dz. U. z 2019r., poz. 310 z </w:t>
      </w:r>
      <w:proofErr w:type="spellStart"/>
      <w:r w:rsidRPr="007152FD">
        <w:rPr>
          <w:rFonts w:ascii="Calibri" w:hAnsi="Calibri" w:cs="Calibri"/>
          <w:sz w:val="20"/>
          <w:szCs w:val="20"/>
        </w:rPr>
        <w:t>późn</w:t>
      </w:r>
      <w:proofErr w:type="spellEnd"/>
      <w:r w:rsidRPr="007152FD">
        <w:rPr>
          <w:rFonts w:ascii="Calibri" w:hAnsi="Calibri" w:cs="Calibri"/>
          <w:sz w:val="20"/>
          <w:szCs w:val="20"/>
        </w:rPr>
        <w:t>. zm.).</w:t>
      </w:r>
    </w:p>
    <w:p w14:paraId="3C2D1DA1" w14:textId="75F3AAEB" w:rsidR="00AA1B79" w:rsidRPr="00AA1B79" w:rsidRDefault="00AA1B79" w:rsidP="00AA1B79">
      <w:pPr>
        <w:widowControl w:val="0"/>
        <w:suppressAutoHyphens/>
        <w:spacing w:after="0" w:line="240" w:lineRule="auto"/>
        <w:ind w:left="720"/>
        <w:jc w:val="both"/>
      </w:pPr>
    </w:p>
    <w:p w14:paraId="1CA03F5A" w14:textId="11347F84" w:rsidR="0073620A" w:rsidRDefault="003C4EE1" w:rsidP="00EF6BF7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142"/>
      </w:pPr>
      <w:r>
        <w:t>Załącznik nr 7 – ogólne warunki umowy</w:t>
      </w:r>
      <w:r w:rsidR="00542317">
        <w:t xml:space="preserve"> § 13 ust. 1 po zmianie brzmi następująco:</w:t>
      </w:r>
    </w:p>
    <w:p w14:paraId="6C3F3B48" w14:textId="77777777" w:rsidR="003C4EE1" w:rsidRDefault="003C4EE1" w:rsidP="00AA1B79">
      <w:pPr>
        <w:widowControl w:val="0"/>
        <w:suppressAutoHyphens/>
        <w:spacing w:after="0" w:line="240" w:lineRule="auto"/>
      </w:pPr>
    </w:p>
    <w:p w14:paraId="02D7657E" w14:textId="2BF03011" w:rsidR="003C4EE1" w:rsidRPr="003C4EE1" w:rsidRDefault="00AA1B79" w:rsidP="003C4EE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3C4EE1">
        <w:rPr>
          <w:sz w:val="20"/>
          <w:szCs w:val="20"/>
        </w:rPr>
        <w:t xml:space="preserve"> </w:t>
      </w:r>
      <w:r w:rsidR="003C4EE1" w:rsidRPr="003C4EE1">
        <w:rPr>
          <w:rFonts w:cstheme="minorHAnsi"/>
          <w:sz w:val="20"/>
          <w:szCs w:val="20"/>
        </w:rPr>
        <w:t xml:space="preserve">We wszystkich sprawach nieuregulowanych niniejszą umową mają zastosowanie ogólnie obowiązujące przepisy prawne, a w szczególności przepisy Kodeksu Cywilnego oraz Prawa Zamówień Publicznych oraz zobowiązania Firmy Ochroniarskiej zawarte w złożonej ofercie oraz zapisy Ogłoszenia o zamówieniu na usługi społeczne na „usługi ochrony  zwanego w „Ogłoszeniem” </w:t>
      </w:r>
      <w:r w:rsidR="003C4EE1" w:rsidRPr="00EF6BF7">
        <w:rPr>
          <w:rFonts w:cstheme="minorHAnsi"/>
          <w:i/>
          <w:iCs/>
          <w:sz w:val="20"/>
          <w:szCs w:val="20"/>
        </w:rPr>
        <w:t xml:space="preserve">a także przepisy </w:t>
      </w:r>
      <w:r w:rsidR="003C4EE1" w:rsidRPr="00EF6BF7">
        <w:rPr>
          <w:rFonts w:ascii="Times New Roman" w:hAnsi="Times New Roman"/>
          <w:i/>
          <w:iCs/>
          <w:sz w:val="20"/>
          <w:szCs w:val="20"/>
        </w:rPr>
        <w:t>ustawy</w:t>
      </w:r>
      <w:r w:rsidR="003C4EE1" w:rsidRPr="003C4EE1">
        <w:rPr>
          <w:rFonts w:ascii="Times New Roman" w:hAnsi="Times New Roman"/>
          <w:sz w:val="20"/>
          <w:szCs w:val="20"/>
        </w:rPr>
        <w:t xml:space="preserve"> </w:t>
      </w:r>
      <w:r w:rsidR="003C4EE1" w:rsidRPr="003C4EE1">
        <w:rPr>
          <w:rFonts w:ascii="Times New Roman" w:hAnsi="Times New Roman"/>
          <w:i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oraz akty wykonawcze wydane na podstawie ww. ustaw.  </w:t>
      </w:r>
    </w:p>
    <w:p w14:paraId="62A750EA" w14:textId="38D947C0" w:rsidR="00AA1B79" w:rsidRDefault="00AA1B79"/>
    <w:p w14:paraId="02A25324" w14:textId="74003675" w:rsidR="0073620A" w:rsidRDefault="00542317" w:rsidP="00EF6BF7">
      <w:pPr>
        <w:pStyle w:val="Akapitzlist"/>
        <w:numPr>
          <w:ilvl w:val="0"/>
          <w:numId w:val="11"/>
        </w:numPr>
        <w:ind w:left="142"/>
      </w:pPr>
      <w:r>
        <w:t>Załącznik nr 7 – ogólne warunki umowy § 5 ust. 3) po zmianie brzmi następująco</w:t>
      </w:r>
      <w:r w:rsidR="0073620A">
        <w:t xml:space="preserve">: </w:t>
      </w:r>
    </w:p>
    <w:p w14:paraId="73131481" w14:textId="0FD868E4" w:rsidR="00D03345" w:rsidRPr="0073620A" w:rsidRDefault="0073620A" w:rsidP="00D0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t xml:space="preserve">3) </w:t>
      </w:r>
      <w:r w:rsidRPr="00D03345">
        <w:rPr>
          <w:rFonts w:cstheme="minorHAnsi"/>
          <w:sz w:val="20"/>
          <w:szCs w:val="20"/>
        </w:rPr>
        <w:t xml:space="preserve">Zamawiający zastrzega sobie prawo do potrącenia kar umownych z wniesionego przez Wykonawcę zabezpieczenia należytego wykonania umowy </w:t>
      </w:r>
      <w:r w:rsidRPr="00EF6BF7">
        <w:rPr>
          <w:rFonts w:cstheme="minorHAnsi"/>
          <w:i/>
          <w:iCs/>
          <w:sz w:val="20"/>
          <w:szCs w:val="20"/>
        </w:rPr>
        <w:t xml:space="preserve">z zastrzeżeniem, iż  </w:t>
      </w:r>
      <w:r w:rsidRPr="00EF6BF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niniejszy  zapis nie ma zastosowania  w okresie  stanu zagrożenia epidemiologicznego</w:t>
      </w:r>
      <w:r w:rsidR="00542317" w:rsidRPr="00EF6BF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  <w:r w:rsidRPr="00EF6BF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stanu epidemii w  związku z COVID-19 i przez 90 dni</w:t>
      </w:r>
      <w:r w:rsidRPr="00D03345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od </w:t>
      </w:r>
      <w:r w:rsidRPr="00EF6BF7">
        <w:rPr>
          <w:rFonts w:ascii="Times New Roman" w:eastAsia="Times New Roman" w:hAnsi="Times New Roman" w:cs="Times New Roman"/>
          <w:i/>
          <w:color w:val="000000"/>
          <w:lang w:eastAsia="pl-PL"/>
        </w:rPr>
        <w:lastRenderedPageBreak/>
        <w:t>dnia odwołania stanu</w:t>
      </w:r>
      <w:r w:rsidR="00D03345" w:rsidRPr="00EF6BF7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(ustawa z dnia 19 czerwca 2020r o dopłatach do oprocentowania kredytów bankowych udzielanych przedsiębiorcom dotkniętym skutkami COVID-19 oraz o uproszczonym postepowaniu o zatwierdzenie układu w związku z wystąpieniem COVID-19  tzw. Tarcza Antykryzysowa 4.0  - Dz. U 2020 poz. 1086).</w:t>
      </w:r>
    </w:p>
    <w:p w14:paraId="3E068E93" w14:textId="77777777" w:rsidR="00D03345" w:rsidRDefault="00D03345" w:rsidP="00D03345">
      <w:pPr>
        <w:spacing w:after="0" w:line="268" w:lineRule="auto"/>
        <w:ind w:left="456"/>
        <w:jc w:val="both"/>
        <w:rPr>
          <w:rFonts w:cstheme="minorHAnsi"/>
          <w:sz w:val="20"/>
          <w:szCs w:val="20"/>
        </w:rPr>
      </w:pPr>
    </w:p>
    <w:p w14:paraId="540546FE" w14:textId="77777777" w:rsidR="00EF6BF7" w:rsidRDefault="00EF6BF7"/>
    <w:p w14:paraId="4E9AA11D" w14:textId="35D1D550" w:rsidR="00AA1B79" w:rsidRDefault="003C4EE1">
      <w:r>
        <w:t>Niniejsz</w:t>
      </w:r>
      <w:r w:rsidR="00EF6BF7">
        <w:t>a</w:t>
      </w:r>
      <w:r>
        <w:t xml:space="preserve"> </w:t>
      </w:r>
      <w:r w:rsidR="00EF6BF7">
        <w:t>modyfikacja jest</w:t>
      </w:r>
      <w:r>
        <w:t xml:space="preserve"> wiążąc</w:t>
      </w:r>
      <w:r w:rsidR="00EF6BF7">
        <w:t>a</w:t>
      </w:r>
      <w:r>
        <w:t xml:space="preserve"> dla wszystkich wykonawców.</w:t>
      </w:r>
    </w:p>
    <w:p w14:paraId="5861D534" w14:textId="3C3CFEFD" w:rsidR="003C4EE1" w:rsidRDefault="003C4EE1"/>
    <w:p w14:paraId="0B0EF440" w14:textId="77777777" w:rsidR="003C4EE1" w:rsidRDefault="003C4EE1"/>
    <w:p w14:paraId="61CE288F" w14:textId="3CF6EB23" w:rsidR="003C4EE1" w:rsidRDefault="003C4EE1"/>
    <w:p w14:paraId="1F20CE92" w14:textId="77777777" w:rsidR="003C4EE1" w:rsidRPr="003C4EE1" w:rsidRDefault="003C4EE1" w:rsidP="003C4EE1">
      <w:pPr>
        <w:spacing w:after="0" w:line="240" w:lineRule="auto"/>
        <w:ind w:left="6237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EE1">
        <w:rPr>
          <w:rFonts w:ascii="Calibri" w:eastAsia="Times New Roman" w:hAnsi="Calibri" w:cs="Calibri"/>
          <w:sz w:val="24"/>
          <w:szCs w:val="24"/>
          <w:lang w:eastAsia="pl-PL"/>
        </w:rPr>
        <w:t>Zatwierdziła :</w:t>
      </w:r>
      <w:r w:rsidRPr="003C4EE1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8A1748E" w14:textId="77777777" w:rsidR="003C4EE1" w:rsidRPr="003C4EE1" w:rsidRDefault="003C4EE1" w:rsidP="003C4E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EE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Dyrektor Naczelna</w:t>
      </w:r>
    </w:p>
    <w:p w14:paraId="75014A4B" w14:textId="77777777" w:rsidR="003C4EE1" w:rsidRPr="003C4EE1" w:rsidRDefault="003C4EE1" w:rsidP="003C4EE1">
      <w:pPr>
        <w:spacing w:after="20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A77AD9" w14:textId="49438AB9" w:rsidR="003C4EE1" w:rsidRDefault="003C4EE1" w:rsidP="003C4EE1">
      <w:r w:rsidRPr="003C4EE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C4EE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/-/ Beata Majka</w:t>
      </w:r>
      <w:r w:rsidRPr="003C4EE1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</w:p>
    <w:sectPr w:rsidR="003C4E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2517D" w14:textId="77777777" w:rsidR="00DF7C4E" w:rsidRDefault="00DF7C4E" w:rsidP="00AA1B79">
      <w:pPr>
        <w:spacing w:after="0" w:line="240" w:lineRule="auto"/>
      </w:pPr>
      <w:r>
        <w:separator/>
      </w:r>
    </w:p>
  </w:endnote>
  <w:endnote w:type="continuationSeparator" w:id="0">
    <w:p w14:paraId="719092F5" w14:textId="77777777" w:rsidR="00DF7C4E" w:rsidRDefault="00DF7C4E" w:rsidP="00AA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00BE" w14:textId="77777777" w:rsidR="00AA1B79" w:rsidRDefault="00AA1B79" w:rsidP="00AA1B79">
    <w:pPr>
      <w:pStyle w:val="Stopka"/>
    </w:pPr>
    <w:r>
      <w:t>OGŁOSZENIE O ZAMÓWIENIU USŁUG SPOŁECZNYCH PN. „USŁUGI OCHRONY” nr ZP/2/2020</w:t>
    </w:r>
  </w:p>
  <w:p w14:paraId="3E70B42F" w14:textId="77777777" w:rsidR="00AA1B79" w:rsidRDefault="00AA1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EFDA" w14:textId="77777777" w:rsidR="00DF7C4E" w:rsidRDefault="00DF7C4E" w:rsidP="00AA1B79">
      <w:pPr>
        <w:spacing w:after="0" w:line="240" w:lineRule="auto"/>
      </w:pPr>
      <w:r>
        <w:separator/>
      </w:r>
    </w:p>
  </w:footnote>
  <w:footnote w:type="continuationSeparator" w:id="0">
    <w:p w14:paraId="456CBB24" w14:textId="77777777" w:rsidR="00DF7C4E" w:rsidRDefault="00DF7C4E" w:rsidP="00AA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2397" w14:textId="4108DD6A" w:rsidR="00AA1B79" w:rsidRPr="00AA1B79" w:rsidRDefault="00AA1B79" w:rsidP="00AA1B79">
    <w:pPr>
      <w:pBdr>
        <w:bottom w:val="single" w:sz="12" w:space="1" w:color="auto"/>
      </w:pBdr>
      <w:spacing w:after="0" w:line="240" w:lineRule="auto"/>
      <w:outlineLvl w:val="0"/>
      <w:rPr>
        <w:rFonts w:ascii="Verdana" w:eastAsia="Times New Roman" w:hAnsi="Verdana" w:cs="Times New Roman"/>
        <w:b/>
        <w:sz w:val="20"/>
        <w:szCs w:val="24"/>
        <w:lang w:eastAsia="pl-PL"/>
      </w:rPr>
    </w:pPr>
    <w:r w:rsidRPr="00AA1B79">
      <w:rPr>
        <w:rFonts w:ascii="Calibri" w:eastAsia="Times New Roman" w:hAnsi="Calibri" w:cs="Arial"/>
        <w:b/>
        <w:noProof/>
        <w:sz w:val="24"/>
        <w:szCs w:val="24"/>
        <w:lang w:eastAsia="pl-PL"/>
      </w:rPr>
      <w:drawing>
        <wp:inline distT="0" distB="0" distL="0" distR="0" wp14:anchorId="1909DC6B" wp14:editId="78E9EBD2">
          <wp:extent cx="1968500" cy="1306195"/>
          <wp:effectExtent l="0" t="0" r="0" b="8255"/>
          <wp:docPr id="2" name="Obraz 2" descr="operale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erales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noProof/>
        <w:sz w:val="24"/>
        <w:szCs w:val="24"/>
        <w:lang w:eastAsia="pl-PL"/>
      </w:rPr>
      <w:drawing>
        <wp:inline distT="0" distB="0" distL="0" distR="0" wp14:anchorId="2A59AF8B" wp14:editId="119F4C54">
          <wp:extent cx="1161415" cy="1306195"/>
          <wp:effectExtent l="0" t="0" r="635" b="8255"/>
          <wp:docPr id="1" name="Obraz 1" descr="BART_znak_RGB_M_v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RT_znak_RGB_M_v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0D90D" w14:textId="77777777" w:rsidR="00AA1B79" w:rsidRDefault="00AA1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000024"/>
    <w:multiLevelType w:val="singleLevel"/>
    <w:tmpl w:val="CE4A9820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2" w15:restartNumberingAfterBreak="0">
    <w:nsid w:val="28D0720A"/>
    <w:multiLevelType w:val="hybridMultilevel"/>
    <w:tmpl w:val="7C182FA0"/>
    <w:lvl w:ilvl="0" w:tplc="7A02442A">
      <w:start w:val="1"/>
      <w:numFmt w:val="decimal"/>
      <w:lvlText w:val="%1."/>
      <w:lvlJc w:val="left"/>
      <w:pPr>
        <w:ind w:left="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30CF4DE">
      <w:start w:val="1"/>
      <w:numFmt w:val="lowerLetter"/>
      <w:lvlText w:val="%2"/>
      <w:lvlJc w:val="left"/>
      <w:pPr>
        <w:ind w:left="1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A8E8B8">
      <w:start w:val="1"/>
      <w:numFmt w:val="lowerRoman"/>
      <w:lvlText w:val="%3"/>
      <w:lvlJc w:val="left"/>
      <w:pPr>
        <w:ind w:left="1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7E84DFC">
      <w:start w:val="1"/>
      <w:numFmt w:val="decimal"/>
      <w:lvlText w:val="%4"/>
      <w:lvlJc w:val="left"/>
      <w:pPr>
        <w:ind w:left="2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04B078">
      <w:start w:val="1"/>
      <w:numFmt w:val="lowerLetter"/>
      <w:lvlText w:val="%5"/>
      <w:lvlJc w:val="left"/>
      <w:pPr>
        <w:ind w:left="3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092AA94">
      <w:start w:val="1"/>
      <w:numFmt w:val="lowerRoman"/>
      <w:lvlText w:val="%6"/>
      <w:lvlJc w:val="left"/>
      <w:pPr>
        <w:ind w:left="3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1414B6">
      <w:start w:val="1"/>
      <w:numFmt w:val="decimal"/>
      <w:lvlText w:val="%7"/>
      <w:lvlJc w:val="left"/>
      <w:pPr>
        <w:ind w:left="4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702511A">
      <w:start w:val="1"/>
      <w:numFmt w:val="lowerLetter"/>
      <w:lvlText w:val="%8"/>
      <w:lvlJc w:val="left"/>
      <w:pPr>
        <w:ind w:left="5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B38">
      <w:start w:val="1"/>
      <w:numFmt w:val="lowerRoman"/>
      <w:lvlText w:val="%9"/>
      <w:lvlJc w:val="left"/>
      <w:pPr>
        <w:ind w:left="6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B1F053B"/>
    <w:multiLevelType w:val="hybridMultilevel"/>
    <w:tmpl w:val="50403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96D"/>
    <w:multiLevelType w:val="hybridMultilevel"/>
    <w:tmpl w:val="DB8C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1E90"/>
    <w:multiLevelType w:val="hybridMultilevel"/>
    <w:tmpl w:val="782837E6"/>
    <w:lvl w:ilvl="0" w:tplc="CC38FB4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6A4E99"/>
    <w:multiLevelType w:val="hybridMultilevel"/>
    <w:tmpl w:val="E60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1CC2"/>
    <w:multiLevelType w:val="hybridMultilevel"/>
    <w:tmpl w:val="DB8C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60EF"/>
    <w:multiLevelType w:val="hybridMultilevel"/>
    <w:tmpl w:val="039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6DC0"/>
    <w:multiLevelType w:val="hybridMultilevel"/>
    <w:tmpl w:val="D0865C20"/>
    <w:lvl w:ilvl="0" w:tplc="105CE09E">
      <w:start w:val="1"/>
      <w:numFmt w:val="decimal"/>
      <w:lvlText w:val="%1)"/>
      <w:lvlJc w:val="left"/>
      <w:pPr>
        <w:ind w:left="45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B0B90C">
      <w:start w:val="1"/>
      <w:numFmt w:val="decimal"/>
      <w:lvlText w:val="%2."/>
      <w:lvlJc w:val="left"/>
      <w:pPr>
        <w:ind w:left="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AAE1E8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DE083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4AF1DC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2065EA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D003FC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3E1900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A01DD6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FB772B2"/>
    <w:multiLevelType w:val="multilevel"/>
    <w:tmpl w:val="B35679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6A"/>
    <w:rsid w:val="002C226A"/>
    <w:rsid w:val="003C4EE1"/>
    <w:rsid w:val="004169FD"/>
    <w:rsid w:val="00542317"/>
    <w:rsid w:val="00723A59"/>
    <w:rsid w:val="0073620A"/>
    <w:rsid w:val="007E14CC"/>
    <w:rsid w:val="009729F4"/>
    <w:rsid w:val="00AA1B79"/>
    <w:rsid w:val="00D03345"/>
    <w:rsid w:val="00DF7C4E"/>
    <w:rsid w:val="00E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FB4F"/>
  <w15:chartTrackingRefBased/>
  <w15:docId w15:val="{8FF81014-72AD-4AA2-AB92-29E598E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79"/>
  </w:style>
  <w:style w:type="paragraph" w:styleId="Stopka">
    <w:name w:val="footer"/>
    <w:basedOn w:val="Normalny"/>
    <w:link w:val="StopkaZnak"/>
    <w:uiPriority w:val="99"/>
    <w:unhideWhenUsed/>
    <w:rsid w:val="00AA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79"/>
  </w:style>
  <w:style w:type="character" w:styleId="Hipercze">
    <w:name w:val="Hyperlink"/>
    <w:rsid w:val="00AA1B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t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DWiniarska</cp:lastModifiedBy>
  <cp:revision>2</cp:revision>
  <dcterms:created xsi:type="dcterms:W3CDTF">2021-01-07T16:27:00Z</dcterms:created>
  <dcterms:modified xsi:type="dcterms:W3CDTF">2021-01-07T16:27:00Z</dcterms:modified>
</cp:coreProperties>
</file>